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Musikalisches Eignungsgespräch zur Aufnahme ins Musik-BORG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Liebe Schülerin, lieber Schüler!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Das Eignungsgespräch ist die Voraussetzung für eine Anmeldung für das Musik-B</w:t>
      </w:r>
      <w:r>
        <w:rPr/>
        <w:t>ORG</w:t>
      </w:r>
      <w:r>
        <w:rPr/>
        <w:t xml:space="preserve">. Dieser Zweig steht </w:t>
      </w:r>
      <w:r>
        <w:rPr>
          <w:b/>
        </w:rPr>
        <w:t>Anfänger*innen</w:t>
      </w:r>
      <w:r>
        <w:rPr/>
        <w:t xml:space="preserve"> wie auch </w:t>
      </w:r>
      <w:r>
        <w:rPr>
          <w:b/>
        </w:rPr>
        <w:t>fortgeschrittenen Schüler*innen</w:t>
      </w:r>
      <w:r>
        <w:rPr/>
        <w:t xml:space="preserve"> offen. </w:t>
      </w:r>
      <w:r>
        <w:rPr/>
        <w:t>Das Gespräch</w:t>
      </w:r>
      <w:r>
        <w:rPr/>
        <w:t xml:space="preserve"> </w:t>
      </w:r>
      <w:r>
        <w:rPr/>
        <w:t xml:space="preserve">soll die </w:t>
      </w:r>
      <w:r>
        <w:rPr>
          <w:b/>
        </w:rPr>
        <w:t>persönliche Eignung</w:t>
      </w:r>
      <w:r>
        <w:rPr/>
        <w:t xml:space="preserve"> für die Wahl des musischen Zweiges feststellen und bietet auch die Möglichkeit, bereits vorhandene Kenntnisse zu zeigen. </w:t>
      </w:r>
      <w:r>
        <w:rPr/>
        <w:t xml:space="preserve">Das Absolvieren des Gesprächs verpflichtet zu keiner Anmeldung. Wir empfehlen deshalb das Eignungsgespräch auch wahrzunehmen, wenn das Musik-BORG nicht dein Erstwunsch ist. </w:t>
      </w:r>
    </w:p>
    <w:p>
      <w:pPr>
        <w:pStyle w:val="Normal"/>
        <w:spacing w:before="0" w:after="0"/>
        <w:jc w:val="both"/>
        <w:rPr>
          <w:sz w:val="8"/>
        </w:rPr>
      </w:pPr>
      <w:r>
        <w:rPr>
          <w:sz w:val="8"/>
        </w:rPr>
      </w:r>
    </w:p>
    <w:p>
      <w:pPr>
        <w:pStyle w:val="Normal"/>
        <w:spacing w:before="0" w:after="0"/>
        <w:jc w:val="both"/>
        <w:rPr>
          <w:color w:val="FF0000"/>
        </w:rPr>
      </w:pPr>
      <w:r>
        <w:rPr/>
        <w:t>Der erste Termin für das Eignungsgespräch findet am</w:t>
      </w:r>
      <w:r>
        <w:rPr>
          <w:b/>
        </w:rPr>
        <w:t xml:space="preserve"> Montag, den 7. Februar 2022 ab 13:30 Uhr </w:t>
      </w:r>
      <w:r>
        <w:rPr/>
        <w:t>s</w:t>
      </w:r>
      <w:r>
        <w:rPr>
          <w:color w:val="000000"/>
        </w:rPr>
        <w:t xml:space="preserve">tatt. Weiters bieten wir einen </w:t>
      </w:r>
      <w:r>
        <w:rPr>
          <w:b/>
          <w:color w:val="000000"/>
        </w:rPr>
        <w:t xml:space="preserve">Zusatztermin am Dienstag, </w:t>
      </w:r>
      <w:r>
        <w:rPr>
          <w:b/>
          <w:color w:val="000000"/>
        </w:rPr>
        <w:t xml:space="preserve">den </w:t>
      </w:r>
      <w:r>
        <w:rPr>
          <w:b/>
          <w:color w:val="000000"/>
        </w:rPr>
        <w:t xml:space="preserve">22. </w:t>
      </w:r>
      <w:r>
        <w:rPr>
          <w:b/>
          <w:color w:val="000000"/>
        </w:rPr>
        <w:t xml:space="preserve">Februar </w:t>
      </w:r>
      <w:r>
        <w:rPr>
          <w:b/>
          <w:color w:val="000000"/>
        </w:rPr>
        <w:t>2022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ebenfalls </w:t>
      </w:r>
      <w:r>
        <w:rPr>
          <w:b/>
          <w:bCs/>
          <w:color w:val="000000"/>
        </w:rPr>
        <w:t>ab 13.30</w:t>
      </w:r>
      <w:r>
        <w:rPr>
          <w:color w:val="000000"/>
        </w:rPr>
        <w:t xml:space="preserve"> Uhr an. Die Anmeldung soll</w:t>
      </w:r>
      <w:r>
        <w:rPr>
          <w:color w:val="000000"/>
        </w:rPr>
        <w:t>te</w:t>
      </w:r>
      <w:r>
        <w:rPr>
          <w:color w:val="000000"/>
        </w:rPr>
        <w:t xml:space="preserve"> </w:t>
      </w:r>
      <w:r>
        <w:rPr>
          <w:color w:val="000000"/>
        </w:rPr>
        <w:t xml:space="preserve">unter Angabe des Wunschtermins bitte </w:t>
      </w:r>
      <w:r>
        <w:rPr>
          <w:color w:val="000000"/>
        </w:rPr>
        <w:t>telefonisc</w:t>
      </w:r>
      <w:r>
        <w:rPr>
          <w:color w:val="000000"/>
        </w:rPr>
        <w:t>h oder per Mail</w:t>
      </w:r>
      <w:r>
        <w:rPr>
          <w:color w:val="000000"/>
        </w:rPr>
        <w:t xml:space="preserve"> bis Montag, den 31. Jänner 2022 erfolgen. Die genaue Zeiteinteilung wird am</w:t>
      </w:r>
      <w:bookmarkStart w:id="0" w:name="_GoBack"/>
      <w:bookmarkEnd w:id="0"/>
      <w:r>
        <w:rPr>
          <w:color w:val="000000"/>
        </w:rPr>
        <w:t xml:space="preserve"> </w:t>
      </w:r>
      <w:r>
        <w:rPr>
          <w:color w:val="000000"/>
        </w:rPr>
        <w:t>Mittwoch</w:t>
      </w:r>
      <w:r>
        <w:rPr>
          <w:color w:val="000000"/>
        </w:rPr>
        <w:t xml:space="preserve">, den </w:t>
      </w:r>
      <w:r>
        <w:rPr>
          <w:color w:val="000000"/>
        </w:rPr>
        <w:t>2</w:t>
      </w:r>
      <w:r>
        <w:rPr>
          <w:color w:val="000000"/>
        </w:rPr>
        <w:t xml:space="preserve">. Februar 2022 per Mail übermittelt.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u w:val="single"/>
        </w:rPr>
      </w:pPr>
      <w:r>
        <w:rPr>
          <w:u w:val="single"/>
        </w:rPr>
        <w:t>Zum Eignungsgespräch für das MUSIK-BORG sollen mitgebracht werden:</w:t>
      </w:r>
    </w:p>
    <w:p>
      <w:pPr>
        <w:pStyle w:val="Normal"/>
        <w:spacing w:before="0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 xml:space="preserve">ein </w:t>
      </w:r>
      <w:r>
        <w:rPr>
          <w:b/>
        </w:rPr>
        <w:t>kurzes Motivationsschreiben (80 – 100 Wörter)</w:t>
      </w:r>
      <w:r>
        <w:rPr/>
        <w:t>, in dem du erklärst, warum du dich für den musischen Zweig entschieden hast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  <w:t xml:space="preserve">wenn vorhanden, </w:t>
      </w:r>
      <w:r>
        <w:rPr>
          <w:b/>
        </w:rPr>
        <w:t>Dokumente</w:t>
      </w:r>
      <w:r>
        <w:rPr/>
        <w:t>, die die musikalische Eignung betreffen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Normal"/>
        <w:spacing w:lineRule="auto" w:line="240" w:before="0" w:after="0"/>
        <w:rPr>
          <w:u w:val="single"/>
        </w:rPr>
      </w:pPr>
      <w:r>
        <w:rPr>
          <w:u w:val="single"/>
        </w:rPr>
        <w:t xml:space="preserve">Das Gespräch gliedert sich in </w:t>
      </w:r>
      <w:r>
        <w:rPr>
          <w:b/>
          <w:u w:val="single"/>
        </w:rPr>
        <w:t>drei Teile</w:t>
      </w:r>
      <w:r>
        <w:rPr>
          <w:u w:val="single"/>
        </w:rPr>
        <w:t>:</w:t>
      </w:r>
    </w:p>
    <w:p>
      <w:pPr>
        <w:pStyle w:val="Normal"/>
        <w:spacing w:lineRule="auto" w:line="240" w:before="0" w:after="0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40" w:before="0" w:after="0"/>
        <w:rPr/>
      </w:pPr>
      <w:r>
        <w:rPr>
          <w:b/>
        </w:rPr>
        <w:t>1) Gespräch</w:t>
      </w:r>
      <w:r>
        <w:rPr/>
        <w:t xml:space="preserve"> zur Wahl des Zweiges (Motivationsschreiben)</w:t>
      </w:r>
    </w:p>
    <w:p>
      <w:pPr>
        <w:pStyle w:val="ListParagraph"/>
        <w:spacing w:lineRule="auto" w:line="240" w:before="0" w:after="0"/>
        <w:contextualSpacing/>
        <w:rPr>
          <w:sz w:val="10"/>
        </w:rPr>
      </w:pPr>
      <w:r>
        <w:rPr>
          <w:sz w:val="10"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2)</w:t>
      </w:r>
      <w:r>
        <w:rPr/>
        <w:t xml:space="preserve"> Überprüfung der </w:t>
      </w:r>
      <w:r>
        <w:rPr>
          <w:b/>
        </w:rPr>
        <w:t xml:space="preserve">allgemeinen Musikalität: </w:t>
      </w:r>
      <w:r>
        <w:rPr>
          <w:b w:val="false"/>
          <w:bCs w:val="false"/>
        </w:rPr>
        <w:t xml:space="preserve">  - </w:t>
      </w:r>
      <w:r>
        <w:rPr/>
        <w:t xml:space="preserve">einfache Rhythmen </w:t>
      </w:r>
      <w:r>
        <w:rPr>
          <w:u w:val="single"/>
        </w:rPr>
        <w:t>nachklatschen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u w:val="none"/>
        </w:rPr>
        <w:tab/>
        <w:tab/>
        <w:tab/>
        <w:tab/>
        <w:t xml:space="preserve"> </w:t>
        <w:tab/>
        <w:t xml:space="preserve">              - Töne und kurze Tonfolgen </w:t>
      </w:r>
      <w:r>
        <w:rPr>
          <w:u w:val="single"/>
        </w:rPr>
        <w:t>nachsingen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u w:val="none"/>
        </w:rPr>
        <w:tab/>
        <w:tab/>
        <w:tab/>
        <w:tab/>
        <w:tab/>
        <w:tab/>
        <w:t xml:space="preserve">- höhere und tiefere Töne im Vergleich </w:t>
      </w:r>
      <w:r>
        <w:rPr>
          <w:u w:val="single"/>
        </w:rPr>
        <w:t>erkennen</w:t>
      </w:r>
    </w:p>
    <w:p>
      <w:pPr>
        <w:pStyle w:val="ListParagraph"/>
        <w:spacing w:lineRule="auto" w:line="240" w:before="0" w:after="0"/>
        <w:contextualSpacing/>
        <w:rPr>
          <w:sz w:val="10"/>
        </w:rPr>
      </w:pPr>
      <w:r>
        <w:rPr>
          <w:sz w:val="10"/>
        </w:rPr>
      </w:r>
    </w:p>
    <w:p>
      <w:pPr>
        <w:pStyle w:val="Normal"/>
        <w:spacing w:lineRule="auto" w:line="240" w:before="0" w:after="0"/>
        <w:rPr/>
      </w:pPr>
      <w:r>
        <w:rPr>
          <w:b/>
        </w:rPr>
        <w:t>3) Praxisteil</w:t>
      </w:r>
      <w:r>
        <w:rPr/>
        <w:t xml:space="preserve">: </w:t>
      </w:r>
    </w:p>
    <w:p>
      <w:pPr>
        <w:pStyle w:val="ListParagraph"/>
        <w:spacing w:lineRule="auto" w:line="240" w:before="0" w:after="0"/>
        <w:contextualSpacing/>
        <w:rPr>
          <w:sz w:val="14"/>
        </w:rPr>
      </w:pPr>
      <w:r>
        <w:rPr>
          <w:sz w:val="14"/>
        </w:rPr>
      </w:r>
    </w:p>
    <w:p>
      <w:pPr>
        <w:pStyle w:val="Normal"/>
        <w:spacing w:before="0" w:after="0"/>
        <w:rPr/>
      </w:pPr>
      <w:r>
        <w:rPr/>
        <w:t xml:space="preserve">Im Rahmen des Musik-Borg wird ein zusätzliches </w:t>
      </w:r>
      <w:r>
        <w:rPr>
          <w:b/>
        </w:rPr>
        <w:t>musisches Unterrichtsfach</w:t>
      </w:r>
      <w:r>
        <w:rPr/>
        <w:t xml:space="preserve"> gewählt: </w:t>
      </w:r>
    </w:p>
    <w:p>
      <w:pPr>
        <w:pStyle w:val="Normal"/>
        <w:spacing w:before="0" w:after="0"/>
        <w:jc w:val="left"/>
        <w:rPr/>
      </w:pPr>
      <w:r>
        <w:rPr/>
        <w:t xml:space="preserve">Gesang </w:t>
      </w:r>
      <w:r>
        <w:rPr>
          <w:u w:val="single"/>
        </w:rPr>
        <w:t>oder</w:t>
      </w:r>
      <w:r>
        <w:rPr/>
        <w:t xml:space="preserve"> Klavier </w:t>
      </w:r>
      <w:r>
        <w:rPr>
          <w:u w:val="single"/>
        </w:rPr>
        <w:t>oder</w:t>
      </w:r>
      <w:r>
        <w:rPr/>
        <w:t xml:space="preserve"> Gitarre </w:t>
      </w:r>
      <w:r>
        <w:rPr>
          <w:u w:val="single"/>
        </w:rPr>
        <w:t>oder</w:t>
      </w:r>
      <w:r>
        <w:rPr/>
        <w:t xml:space="preserve"> Schlagzeug </w:t>
      </w:r>
      <w:r>
        <w:rPr>
          <w:u w:val="single"/>
        </w:rPr>
        <w:t>oder</w:t>
      </w:r>
      <w:r>
        <w:rPr/>
        <w:t xml:space="preserve"> Querflöte </w:t>
      </w:r>
      <w:r>
        <w:rPr>
          <w:u w:val="single"/>
        </w:rPr>
        <w:t>oder</w:t>
      </w:r>
      <w:r>
        <w:rPr/>
        <w:t xml:space="preserve"> Tanz</w:t>
      </w:r>
    </w:p>
    <w:p>
      <w:pPr>
        <w:pStyle w:val="Normal"/>
        <w:spacing w:lineRule="auto" w:line="240" w:before="0" w:after="0"/>
        <w:rPr>
          <w:sz w:val="10"/>
        </w:rPr>
      </w:pPr>
      <w:r>
        <w:rPr>
          <w:sz w:val="10"/>
        </w:rPr>
      </w:r>
    </w:p>
    <w:p>
      <w:pPr>
        <w:pStyle w:val="Normal"/>
        <w:spacing w:lineRule="auto" w:line="240" w:before="0" w:after="0"/>
        <w:rPr/>
      </w:pPr>
      <w:r>
        <w:rPr/>
        <w:t xml:space="preserve">Je nach gewünschtem Fach ist als Praxisteil </w:t>
      </w:r>
      <w:r>
        <w:rPr>
          <w:b/>
        </w:rPr>
        <w:t>a)</w:t>
      </w:r>
      <w:r>
        <w:rPr/>
        <w:t xml:space="preserve"> </w:t>
      </w:r>
      <w:r>
        <w:rPr>
          <w:u w:val="single"/>
        </w:rPr>
        <w:t>oder</w:t>
      </w:r>
      <w:r>
        <w:rPr/>
        <w:t xml:space="preserve"> </w:t>
      </w:r>
      <w:r>
        <w:rPr>
          <w:b/>
        </w:rPr>
        <w:t>b)</w:t>
      </w:r>
      <w:r>
        <w:rPr/>
        <w:t xml:space="preserve"> </w:t>
      </w:r>
      <w:r>
        <w:rPr>
          <w:u w:val="single"/>
        </w:rPr>
        <w:t>oder</w:t>
      </w:r>
      <w:r>
        <w:rPr/>
        <w:t xml:space="preserve"> </w:t>
      </w:r>
      <w:r>
        <w:rPr>
          <w:b/>
        </w:rPr>
        <w:t>c)</w:t>
      </w:r>
      <w:r>
        <w:rPr/>
        <w:t xml:space="preserve"> zu absolvieren: 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>
          <w:u w:val="single"/>
        </w:rPr>
        <w:t>Gesang:</w:t>
      </w:r>
      <w:r>
        <w:rPr/>
        <w:t xml:space="preserve"> Bereite </w:t>
      </w:r>
      <w:r>
        <w:rPr>
          <w:b/>
        </w:rPr>
        <w:t>ein Lied deiner Wahl</w:t>
      </w:r>
      <w:r>
        <w:rPr/>
        <w:t xml:space="preserve"> vor </w:t>
      </w:r>
      <w:r>
        <w:rPr/>
        <w:t>(z.B. Popsong, Kinderlied, Volkslied usw.)</w:t>
      </w:r>
      <w:r>
        <w:rPr/>
        <w:t xml:space="preserve">. Bei Bedarf begleitet dich eine Lehrperson auf dem Klavier. </w:t>
      </w:r>
    </w:p>
    <w:p>
      <w:pPr>
        <w:pStyle w:val="ListParagraph"/>
        <w:spacing w:lineRule="auto" w:line="240" w:before="0" w:after="0"/>
        <w:ind w:left="1080" w:hanging="0"/>
        <w:contextualSpacing/>
        <w:jc w:val="both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>
          <w:u w:val="single"/>
        </w:rPr>
        <w:t>Instrumental:</w:t>
      </w:r>
      <w:r>
        <w:rPr/>
        <w:t xml:space="preserve"> Wenn du schon ein Instrument gelernt hast, kannst du gerne etwas </w:t>
      </w:r>
      <w:r>
        <w:rPr>
          <w:b/>
        </w:rPr>
        <w:t>vorspielen</w:t>
      </w:r>
      <w:r>
        <w:rPr/>
        <w:t xml:space="preserve">. Dies ist jedoch nicht verpflichtend, da ein Instrument im Rahmen des Zweiges auch </w:t>
      </w:r>
      <w:r>
        <w:rPr>
          <w:b/>
          <w:u w:val="single"/>
        </w:rPr>
        <w:t>neu</w:t>
      </w:r>
      <w:r>
        <w:rPr/>
        <w:t xml:space="preserve"> erlernt werden kann. </w:t>
      </w:r>
    </w:p>
    <w:p>
      <w:pPr>
        <w:pStyle w:val="Normal"/>
        <w:spacing w:lineRule="auto" w:line="240" w:before="0" w:after="0"/>
        <w:jc w:val="both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>
          <w:u w:val="single"/>
        </w:rPr>
        <w:t>Tanz:</w:t>
      </w:r>
      <w:r>
        <w:rPr/>
        <w:t xml:space="preserve"> Es gibt ein</w:t>
      </w:r>
      <w:r>
        <w:rPr>
          <w:b/>
        </w:rPr>
        <w:t xml:space="preserve"> einfaches Tanztraining </w:t>
      </w:r>
      <w:r>
        <w:rPr/>
        <w:t xml:space="preserve">und eine </w:t>
      </w:r>
      <w:r>
        <w:rPr>
          <w:b/>
        </w:rPr>
        <w:t>kurze Improvisation</w:t>
      </w:r>
      <w:r>
        <w:rPr/>
        <w:t xml:space="preserve">, wodurch deine Koordination, Merkfähigkeit und Kreativität getestet und deine physischen Voraussetzungen festgestellt werden. </w:t>
      </w:r>
      <w:r>
        <w:rPr/>
        <w:t>Bereite zusätzlich eine</w:t>
      </w:r>
      <w:r>
        <w:rPr/>
        <w:t xml:space="preserve"> </w:t>
      </w:r>
      <w:r>
        <w:rPr>
          <w:b/>
        </w:rPr>
        <w:t>Tanzchoreographie</w:t>
      </w:r>
      <w:r>
        <w:rPr/>
        <w:t xml:space="preserve"> mit einer Dauer von </w:t>
      </w:r>
      <w:r>
        <w:rPr>
          <w:b/>
        </w:rPr>
        <w:t>30 Sekunden bis 1 Minute</w:t>
      </w:r>
      <w:r>
        <w:rPr/>
        <w:t xml:space="preserve"> vor. Dazu ist </w:t>
      </w:r>
      <w:r>
        <w:rPr>
          <w:b/>
        </w:rPr>
        <w:t>Trainingskleidung</w:t>
      </w:r>
      <w:r>
        <w:rPr/>
        <w:t xml:space="preserve"> erforderlich.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Wir freuen uns auf DICH!</w:t>
      </w:r>
    </w:p>
    <w:sectPr>
      <w:headerReference w:type="default" r:id="rId2"/>
      <w:type w:val="nextPage"/>
      <w:pgSz w:w="11906" w:h="16838"/>
      <w:pgMar w:left="1417" w:right="1417" w:header="708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Wingdings 2">
    <w:charset w:val="00"/>
    <w:family w:val="roman"/>
    <w:pitch w:val="variable"/>
  </w:font>
  <w:font w:name="Webdings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89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660"/>
      <w:gridCol w:w="7228"/>
    </w:tblGrid>
    <w:tr>
      <w:trPr>
        <w:trHeight w:val="960" w:hRule="atLeast"/>
      </w:trPr>
      <w:tc>
        <w:tcPr>
          <w:tcW w:w="2660" w:type="dxa"/>
          <w:tcBorders>
            <w:bottom w:val="single" w:sz="4" w:space="0" w:color="000000"/>
          </w:tcBorders>
          <w:vAlign w:val="center"/>
        </w:tcPr>
        <w:p>
          <w:pPr>
            <w:pStyle w:val="Normal"/>
            <w:widowControl w:val="false"/>
            <w:spacing w:before="0" w:after="0"/>
            <w:rPr/>
          </w:pPr>
          <w:r>
            <w:rPr/>
            <w:drawing>
              <wp:inline distT="0" distB="0" distL="0" distR="0">
                <wp:extent cx="990600" cy="542925"/>
                <wp:effectExtent l="0" t="0" r="0" b="0"/>
                <wp:docPr id="1" name="Bild2" descr="1_multipart_x005F_xF8FF_4_Schul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2" descr="1_multipart_x005F_xF8FF_4_Schul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8" w:type="dxa"/>
          <w:tcBorders>
            <w:bottom w:val="single" w:sz="4" w:space="0" w:color="000000"/>
          </w:tcBorders>
          <w:vAlign w:val="center"/>
        </w:tcPr>
        <w:p>
          <w:pPr>
            <w:pStyle w:val="Normal"/>
            <w:widowControl w:val="false"/>
            <w:spacing w:lineRule="auto" w:line="240" w:before="0" w:after="0"/>
            <w:ind w:right="-108" w:hanging="0"/>
            <w:jc w:val="right"/>
            <w:rPr>
              <w:rFonts w:ascii="Tahoma" w:hAnsi="Tahoma" w:cs="Tahoma"/>
              <w:b/>
              <w:b/>
              <w:color w:val="000000"/>
              <w:sz w:val="15"/>
              <w:szCs w:val="15"/>
              <w:lang w:val="en-US"/>
            </w:rPr>
          </w:pPr>
          <w:r>
            <w:rPr>
              <w:rFonts w:cs="Tahoma" w:ascii="Tahoma" w:hAnsi="Tahoma"/>
              <w:b/>
              <w:color w:val="000000"/>
              <w:sz w:val="15"/>
              <w:szCs w:val="15"/>
              <w:lang w:val="en-US"/>
            </w:rPr>
            <w:t>704016 BG/BORG St. Johann in Tirol</w:t>
          </w:r>
        </w:p>
        <w:p>
          <w:pPr>
            <w:pStyle w:val="Normal"/>
            <w:widowControl w:val="false"/>
            <w:spacing w:lineRule="auto" w:line="240" w:before="0" w:after="0"/>
            <w:ind w:right="-108" w:hanging="0"/>
            <w:jc w:val="right"/>
            <w:rPr>
              <w:rFonts w:ascii="Tahoma" w:hAnsi="Tahoma" w:cs="Tahoma"/>
              <w:color w:val="000000"/>
              <w:sz w:val="15"/>
              <w:szCs w:val="15"/>
              <w:lang w:val="en-US"/>
            </w:rPr>
          </w:pPr>
          <w:r>
            <w:rPr>
              <w:rFonts w:cs="Tahoma" w:ascii="Tahoma" w:hAnsi="Tahoma"/>
              <w:color w:val="000000"/>
              <w:sz w:val="15"/>
              <w:szCs w:val="15"/>
              <w:lang w:val="en-US"/>
            </w:rPr>
            <w:t>Neubauweg 7, 6380 St. Johann in Tirol</w:t>
          </w:r>
        </w:p>
        <w:p>
          <w:pPr>
            <w:pStyle w:val="Normal"/>
            <w:widowControl w:val="false"/>
            <w:spacing w:lineRule="auto" w:line="240" w:before="0" w:after="0"/>
            <w:ind w:right="-108" w:hanging="0"/>
            <w:jc w:val="right"/>
            <w:rPr>
              <w:rFonts w:ascii="Tahoma" w:hAnsi="Tahoma" w:cs="Tahoma"/>
              <w:color w:val="000000"/>
              <w:sz w:val="15"/>
              <w:szCs w:val="15"/>
              <w:lang w:val="en-US"/>
            </w:rPr>
          </w:pPr>
          <w:r>
            <w:rPr>
              <w:rFonts w:eastAsia="Wingdings 2" w:cs="Wingdings 2" w:ascii="Wingdings 2" w:hAnsi="Wingdings 2"/>
              <w:color w:val="000000"/>
              <w:sz w:val="15"/>
              <w:szCs w:val="15"/>
            </w:rPr>
            <w:t></w:t>
          </w:r>
          <w:r>
            <w:rPr>
              <w:rFonts w:cs="Tahoma" w:ascii="Tahoma" w:hAnsi="Tahoma"/>
              <w:color w:val="000000"/>
              <w:sz w:val="15"/>
              <w:szCs w:val="15"/>
              <w:lang w:val="en-US"/>
            </w:rPr>
            <w:t xml:space="preserve"> </w:t>
          </w:r>
          <w:r>
            <w:rPr>
              <w:rFonts w:cs="Tahoma" w:ascii="Tahoma" w:hAnsi="Tahoma"/>
              <w:color w:val="000000"/>
              <w:sz w:val="15"/>
              <w:szCs w:val="15"/>
              <w:lang w:val="en-US"/>
            </w:rPr>
            <w:t xml:space="preserve">+435352/62654    </w:t>
          </w:r>
          <w:r>
            <w:rPr>
              <w:rFonts w:eastAsia="Wingdings 2" w:cs="Wingdings 2" w:ascii="Wingdings 2" w:hAnsi="Wingdings 2"/>
              <w:color w:val="000000"/>
              <w:sz w:val="15"/>
              <w:szCs w:val="15"/>
              <w:lang w:val="en-US"/>
            </w:rPr>
            <w:t></w:t>
          </w:r>
          <w:r>
            <w:rPr>
              <w:rFonts w:cs="Tahoma" w:ascii="Tahoma" w:hAnsi="Tahoma"/>
              <w:color w:val="000000"/>
              <w:sz w:val="15"/>
              <w:szCs w:val="15"/>
              <w:lang w:val="en-US"/>
            </w:rPr>
            <w:t>: +435352/62654-33</w:t>
          </w:r>
        </w:p>
        <w:p>
          <w:pPr>
            <w:pStyle w:val="Normal"/>
            <w:widowControl w:val="false"/>
            <w:spacing w:lineRule="auto" w:line="240" w:before="0" w:after="0"/>
            <w:ind w:right="-108" w:hanging="0"/>
            <w:jc w:val="right"/>
            <w:rPr>
              <w:rFonts w:ascii="Tahoma" w:hAnsi="Tahoma" w:cs="Tahoma"/>
              <w:color w:val="0000FF"/>
              <w:sz w:val="15"/>
              <w:szCs w:val="15"/>
              <w:lang w:val="en-US"/>
            </w:rPr>
          </w:pPr>
          <w:r>
            <w:rPr>
              <w:rFonts w:eastAsia="Webdings" w:cs="Webdings" w:ascii="Webdings" w:hAnsi="Webdings"/>
              <w:sz w:val="15"/>
              <w:szCs w:val="15"/>
              <w:lang w:val="en-US"/>
            </w:rPr>
            <w:t></w:t>
          </w:r>
          <w:r>
            <w:rPr>
              <w:rFonts w:cs="Tahoma" w:ascii="Tahoma" w:hAnsi="Tahoma"/>
              <w:sz w:val="15"/>
              <w:szCs w:val="15"/>
              <w:lang w:val="en-US"/>
            </w:rPr>
            <w:t xml:space="preserve"> </w:t>
          </w:r>
          <w:hyperlink r:id="rId2">
            <w:r>
              <w:rPr>
                <w:rStyle w:val="Internetverknpfung"/>
                <w:rFonts w:cs="Tahoma" w:ascii="Tahoma" w:hAnsi="Tahoma"/>
                <w:sz w:val="15"/>
                <w:szCs w:val="15"/>
                <w:lang w:val="en-US"/>
              </w:rPr>
              <w:t>http://www.bg-stjohann.at</w:t>
            </w:r>
          </w:hyperlink>
        </w:p>
        <w:p>
          <w:pPr>
            <w:pStyle w:val="Normal"/>
            <w:widowControl w:val="false"/>
            <w:spacing w:lineRule="auto" w:line="240" w:before="0" w:after="0"/>
            <w:ind w:right="-108" w:hanging="0"/>
            <w:jc w:val="right"/>
            <w:rPr>
              <w:sz w:val="15"/>
              <w:szCs w:val="15"/>
              <w:lang w:val="en-US"/>
            </w:rPr>
          </w:pPr>
          <w:r>
            <w:rPr>
              <w:rFonts w:eastAsia="Webdings" w:cs="Webdings" w:ascii="Webdings" w:hAnsi="Webdings"/>
              <w:sz w:val="15"/>
              <w:szCs w:val="15"/>
              <w:lang w:val="en-US"/>
            </w:rPr>
            <w:t></w:t>
          </w:r>
          <w:r>
            <w:rPr>
              <w:rFonts w:cs="Tahoma" w:ascii="Tahoma" w:hAnsi="Tahoma"/>
              <w:sz w:val="15"/>
              <w:szCs w:val="15"/>
              <w:lang w:val="en-US"/>
            </w:rPr>
            <w:t xml:space="preserve"> </w:t>
          </w:r>
          <w:hyperlink r:id="rId3">
            <w:r>
              <w:rPr>
                <w:rStyle w:val="Internetverknpfung"/>
                <w:rFonts w:cs="Tahoma" w:ascii="Tahoma" w:hAnsi="Tahoma"/>
                <w:sz w:val="15"/>
                <w:szCs w:val="15"/>
                <w:lang w:val="en-US"/>
              </w:rPr>
              <w:t>bg-stjohann@tsn.at</w:t>
            </w:r>
          </w:hyperlink>
        </w:p>
      </w:tc>
    </w:tr>
  </w:tbl>
  <w:p>
    <w:pPr>
      <w:pStyle w:val="Kopfzeile"/>
      <w:rPr>
        <w:lang w:val="en-US"/>
      </w:rPr>
    </w:pPr>
    <w:r>
      <w:rPr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A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A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9a7d40"/>
    <w:rPr>
      <w:rFonts w:ascii="Segoe UI" w:hAnsi="Segoe UI" w:cs="Segoe UI"/>
      <w:sz w:val="18"/>
      <w:szCs w:val="18"/>
    </w:rPr>
  </w:style>
  <w:style w:type="character" w:styleId="KopfzeileZchn" w:customStyle="1">
    <w:name w:val="Kopfzeile Zchn"/>
    <w:basedOn w:val="DefaultParagraphFont"/>
    <w:link w:val="Kopfzeile"/>
    <w:uiPriority w:val="99"/>
    <w:qFormat/>
    <w:rsid w:val="00977fbd"/>
    <w:rPr/>
  </w:style>
  <w:style w:type="character" w:styleId="FuzeileZchn" w:customStyle="1">
    <w:name w:val="Fußzeile Zchn"/>
    <w:basedOn w:val="DefaultParagraphFont"/>
    <w:link w:val="Fuzeile"/>
    <w:uiPriority w:val="99"/>
    <w:qFormat/>
    <w:rsid w:val="00977fbd"/>
    <w:rPr/>
  </w:style>
  <w:style w:type="character" w:styleId="Internetverknpfung">
    <w:name w:val="Internetverknüpfung"/>
    <w:uiPriority w:val="99"/>
    <w:unhideWhenUsed/>
    <w:rsid w:val="00977fbd"/>
    <w:rPr>
      <w:color w:val="0000FF"/>
      <w:u w:val="single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13a33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9a7d4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unhideWhenUsed/>
    <w:rsid w:val="00977fb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FuzeileZchn"/>
    <w:uiPriority w:val="99"/>
    <w:unhideWhenUsed/>
    <w:rsid w:val="00977fb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bg-stjohann.at/" TargetMode="External"/><Relationship Id="rId3" Type="http://schemas.openxmlformats.org/officeDocument/2006/relationships/hyperlink" Target="mailto:bg-stjohann@tsn.at" TargetMode="Externa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LibreOffice/7.0.3.1$Windows_X86_64 LibreOffice_project/d7547858d014d4cf69878db179d326fc3483e082</Application>
  <Pages>1</Pages>
  <Words>373</Words>
  <Characters>2268</Characters>
  <CharactersWithSpaces>2649</CharactersWithSpaces>
  <Paragraphs>26</Paragraphs>
  <Company>Universität Mozarteum Salzburg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2020-10-20T15:28:00Z</dcterms:created>
  <dc:creator>Christina Foidl</dc:creator>
  <dc:description/>
  <dc:language>de-AT</dc:language>
  <cp:lastModifiedBy/>
  <cp:lastPrinted>2015-10-05T11:11:00Z</cp:lastPrinted>
  <dcterms:modified xsi:type="dcterms:W3CDTF">2021-10-20T14:45:15Z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Universität Mozarteum Salzburg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